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E7616" w14:textId="251F19FC" w:rsidR="00FD6014" w:rsidRDefault="00FD6014" w:rsidP="00D312F5">
      <w:pPr>
        <w:spacing w:before="18"/>
        <w:ind w:left="117"/>
        <w:rPr>
          <w:b/>
          <w:color w:val="00AFEF"/>
          <w:sz w:val="28"/>
        </w:rPr>
      </w:pPr>
    </w:p>
    <w:tbl>
      <w:tblPr>
        <w:tblW w:w="9493" w:type="dxa"/>
        <w:tblLook w:val="04A0" w:firstRow="1" w:lastRow="0" w:firstColumn="1" w:lastColumn="0" w:noHBand="0" w:noVBand="1"/>
      </w:tblPr>
      <w:tblGrid>
        <w:gridCol w:w="896"/>
        <w:gridCol w:w="1651"/>
        <w:gridCol w:w="1326"/>
        <w:gridCol w:w="3210"/>
        <w:gridCol w:w="2410"/>
      </w:tblGrid>
      <w:tr w:rsidR="00FD6014" w:rsidRPr="00815AB8" w14:paraId="2FF23739" w14:textId="77777777" w:rsidTr="00812118">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676F0" w14:textId="77777777" w:rsidR="00FD6014" w:rsidRPr="00815AB8" w:rsidRDefault="00FD6014" w:rsidP="00812118">
            <w:pPr>
              <w:rPr>
                <w:rFonts w:eastAsia="Times New Roman"/>
                <w:color w:val="000000"/>
              </w:rPr>
            </w:pPr>
            <w:r>
              <w:rPr>
                <w:rFonts w:eastAsia="Times New Roman"/>
                <w:color w:val="000000"/>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617DBE16" w14:textId="75367AFE" w:rsidR="00FD6014" w:rsidRPr="00815AB8" w:rsidRDefault="00FD6014" w:rsidP="00812118">
            <w:pPr>
              <w:rPr>
                <w:rFonts w:eastAsia="Times New Roman"/>
                <w:color w:val="000000"/>
              </w:rPr>
            </w:pPr>
            <w:r>
              <w:rPr>
                <w:rFonts w:eastAsia="Times New Roman"/>
                <w:color w:val="000000"/>
              </w:rPr>
              <w:t>Fair-processing-notic-guidance</w:t>
            </w:r>
          </w:p>
        </w:tc>
      </w:tr>
      <w:tr w:rsidR="00FD6014" w:rsidRPr="00815AB8" w14:paraId="375DC7BB"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7A3D4864" w14:textId="77777777" w:rsidR="00FD6014" w:rsidRPr="00815AB8" w:rsidRDefault="00FD6014" w:rsidP="00812118">
            <w:pPr>
              <w:rPr>
                <w:rFonts w:eastAsia="Times New Roman"/>
                <w:color w:val="000000"/>
              </w:rPr>
            </w:pPr>
            <w:r w:rsidRPr="00815AB8">
              <w:rPr>
                <w:rFonts w:eastAsia="Times New Roman"/>
                <w:color w:val="000000"/>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1C0F177F" w14:textId="77777777" w:rsidR="00FD6014" w:rsidRPr="00815AB8" w:rsidRDefault="00FD6014" w:rsidP="00812118">
            <w:pPr>
              <w:rPr>
                <w:rFonts w:eastAsia="Times New Roman"/>
                <w:color w:val="000000"/>
              </w:rPr>
            </w:pPr>
            <w:r w:rsidRPr="00815AB8">
              <w:rPr>
                <w:rFonts w:eastAsia="Times New Roman"/>
                <w:color w:val="000000"/>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0A051DA9" w14:textId="77777777" w:rsidR="00FD6014" w:rsidRPr="00815AB8" w:rsidRDefault="00FD6014" w:rsidP="00812118">
            <w:pPr>
              <w:rPr>
                <w:rFonts w:eastAsia="Times New Roman"/>
                <w:color w:val="000000"/>
              </w:rPr>
            </w:pPr>
            <w:r w:rsidRPr="00815AB8">
              <w:rPr>
                <w:rFonts w:eastAsia="Times New Roman"/>
                <w:color w:val="000000"/>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014F8A8E" w14:textId="77777777" w:rsidR="00FD6014" w:rsidRPr="00815AB8" w:rsidRDefault="00FD6014" w:rsidP="00812118">
            <w:pPr>
              <w:rPr>
                <w:rFonts w:eastAsia="Times New Roman"/>
                <w:color w:val="000000"/>
              </w:rPr>
            </w:pPr>
            <w:r w:rsidRPr="00815AB8">
              <w:rPr>
                <w:rFonts w:eastAsia="Times New Roman"/>
                <w:color w:val="000000"/>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638318DD" w14:textId="77777777" w:rsidR="00FD6014" w:rsidRPr="00815AB8" w:rsidRDefault="00FD6014" w:rsidP="00812118">
            <w:pPr>
              <w:rPr>
                <w:rFonts w:eastAsia="Times New Roman"/>
                <w:color w:val="000000"/>
              </w:rPr>
            </w:pPr>
            <w:r w:rsidRPr="00815AB8">
              <w:rPr>
                <w:rFonts w:eastAsia="Times New Roman"/>
                <w:color w:val="000000"/>
              </w:rPr>
              <w:t>Approved</w:t>
            </w:r>
          </w:p>
        </w:tc>
      </w:tr>
      <w:tr w:rsidR="00FD6014" w:rsidRPr="00815AB8" w14:paraId="6B59A8B5"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23C41006"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1.0</w:t>
            </w:r>
          </w:p>
        </w:tc>
        <w:tc>
          <w:tcPr>
            <w:tcW w:w="1651" w:type="dxa"/>
            <w:tcBorders>
              <w:top w:val="nil"/>
              <w:left w:val="nil"/>
              <w:bottom w:val="single" w:sz="4" w:space="0" w:color="auto"/>
              <w:right w:val="single" w:sz="4" w:space="0" w:color="auto"/>
            </w:tcBorders>
            <w:shd w:val="clear" w:color="auto" w:fill="auto"/>
            <w:noWrap/>
            <w:vAlign w:val="bottom"/>
          </w:tcPr>
          <w:p w14:paraId="33A78DC6"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March 2018</w:t>
            </w:r>
          </w:p>
        </w:tc>
        <w:tc>
          <w:tcPr>
            <w:tcW w:w="1326" w:type="dxa"/>
            <w:tcBorders>
              <w:top w:val="nil"/>
              <w:left w:val="nil"/>
              <w:bottom w:val="single" w:sz="4" w:space="0" w:color="auto"/>
              <w:right w:val="single" w:sz="4" w:space="0" w:color="auto"/>
            </w:tcBorders>
            <w:shd w:val="clear" w:color="auto" w:fill="auto"/>
            <w:noWrap/>
            <w:vAlign w:val="bottom"/>
          </w:tcPr>
          <w:p w14:paraId="3DF6A55E"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SCWCSU</w:t>
            </w:r>
          </w:p>
        </w:tc>
        <w:tc>
          <w:tcPr>
            <w:tcW w:w="3210" w:type="dxa"/>
            <w:tcBorders>
              <w:top w:val="nil"/>
              <w:left w:val="nil"/>
              <w:bottom w:val="single" w:sz="4" w:space="0" w:color="auto"/>
              <w:right w:val="single" w:sz="4" w:space="0" w:color="auto"/>
            </w:tcBorders>
            <w:shd w:val="clear" w:color="auto" w:fill="auto"/>
            <w:noWrap/>
            <w:vAlign w:val="bottom"/>
          </w:tcPr>
          <w:p w14:paraId="3A32E915"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Oxford CCGs GP GDPR pack</w:t>
            </w:r>
          </w:p>
        </w:tc>
        <w:tc>
          <w:tcPr>
            <w:tcW w:w="2410" w:type="dxa"/>
            <w:tcBorders>
              <w:top w:val="nil"/>
              <w:left w:val="nil"/>
              <w:bottom w:val="single" w:sz="4" w:space="0" w:color="auto"/>
              <w:right w:val="single" w:sz="4" w:space="0" w:color="auto"/>
            </w:tcBorders>
            <w:shd w:val="clear" w:color="auto" w:fill="auto"/>
            <w:noWrap/>
            <w:vAlign w:val="bottom"/>
          </w:tcPr>
          <w:p w14:paraId="4E248D9D"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1805ADB5"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69AA1E70"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1.01</w:t>
            </w:r>
          </w:p>
        </w:tc>
        <w:tc>
          <w:tcPr>
            <w:tcW w:w="1651" w:type="dxa"/>
            <w:tcBorders>
              <w:top w:val="nil"/>
              <w:left w:val="nil"/>
              <w:bottom w:val="single" w:sz="4" w:space="0" w:color="auto"/>
              <w:right w:val="single" w:sz="4" w:space="0" w:color="auto"/>
            </w:tcBorders>
            <w:shd w:val="clear" w:color="auto" w:fill="auto"/>
            <w:noWrap/>
            <w:vAlign w:val="bottom"/>
          </w:tcPr>
          <w:p w14:paraId="3E5EA41A"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23 Mar 2018</w:t>
            </w:r>
          </w:p>
        </w:tc>
        <w:tc>
          <w:tcPr>
            <w:tcW w:w="1326" w:type="dxa"/>
            <w:tcBorders>
              <w:top w:val="nil"/>
              <w:left w:val="nil"/>
              <w:bottom w:val="single" w:sz="4" w:space="0" w:color="auto"/>
              <w:right w:val="single" w:sz="4" w:space="0" w:color="auto"/>
            </w:tcBorders>
            <w:shd w:val="clear" w:color="auto" w:fill="auto"/>
            <w:noWrap/>
            <w:vAlign w:val="bottom"/>
          </w:tcPr>
          <w:p w14:paraId="4FCA451F" w14:textId="77777777" w:rsidR="00FD6014" w:rsidRPr="00815AB8" w:rsidRDefault="00FD6014" w:rsidP="00812118">
            <w:pPr>
              <w:rPr>
                <w:rFonts w:eastAsia="Times New Roman"/>
                <w:color w:val="000000"/>
              </w:rPr>
            </w:pPr>
            <w:r>
              <w:rPr>
                <w:rFonts w:eastAsia="Times New Roman"/>
                <w:color w:val="000000"/>
              </w:rPr>
              <w:t>Dr</w:t>
            </w:r>
            <w:r w:rsidRPr="00815AB8">
              <w:rPr>
                <w:rFonts w:eastAsia="Times New Roman"/>
                <w:color w:val="000000"/>
              </w:rPr>
              <w:t> </w:t>
            </w:r>
            <w:r>
              <w:rPr>
                <w:rFonts w:eastAsia="Times New Roman"/>
                <w:color w:val="000000"/>
              </w:rPr>
              <w:t>L Slater</w:t>
            </w:r>
          </w:p>
        </w:tc>
        <w:tc>
          <w:tcPr>
            <w:tcW w:w="3210" w:type="dxa"/>
            <w:tcBorders>
              <w:top w:val="nil"/>
              <w:left w:val="nil"/>
              <w:bottom w:val="single" w:sz="4" w:space="0" w:color="auto"/>
              <w:right w:val="single" w:sz="4" w:space="0" w:color="auto"/>
            </w:tcBorders>
            <w:shd w:val="clear" w:color="auto" w:fill="auto"/>
            <w:noWrap/>
            <w:vAlign w:val="bottom"/>
          </w:tcPr>
          <w:p w14:paraId="1DCAA1A3"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Recompiled for NWL local use</w:t>
            </w:r>
          </w:p>
        </w:tc>
        <w:tc>
          <w:tcPr>
            <w:tcW w:w="2410" w:type="dxa"/>
            <w:tcBorders>
              <w:top w:val="nil"/>
              <w:left w:val="nil"/>
              <w:bottom w:val="single" w:sz="4" w:space="0" w:color="auto"/>
              <w:right w:val="single" w:sz="4" w:space="0" w:color="auto"/>
            </w:tcBorders>
            <w:shd w:val="clear" w:color="auto" w:fill="auto"/>
            <w:noWrap/>
            <w:vAlign w:val="bottom"/>
          </w:tcPr>
          <w:p w14:paraId="01A7A8DC" w14:textId="77777777" w:rsidR="00FD6014" w:rsidRPr="00815AB8" w:rsidRDefault="00FD6014" w:rsidP="00812118">
            <w:pPr>
              <w:rPr>
                <w:rFonts w:eastAsia="Times New Roman"/>
                <w:color w:val="000000"/>
              </w:rPr>
            </w:pPr>
            <w:r>
              <w:rPr>
                <w:rFonts w:eastAsia="Times New Roman"/>
                <w:color w:val="000000"/>
              </w:rPr>
              <w:t>B Sturman</w:t>
            </w:r>
          </w:p>
        </w:tc>
      </w:tr>
      <w:tr w:rsidR="00FD6014" w:rsidRPr="00815AB8" w14:paraId="14DE6CD8"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CE5AB8F"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1.02</w:t>
            </w:r>
          </w:p>
        </w:tc>
        <w:tc>
          <w:tcPr>
            <w:tcW w:w="1651" w:type="dxa"/>
            <w:tcBorders>
              <w:top w:val="nil"/>
              <w:left w:val="nil"/>
              <w:bottom w:val="single" w:sz="4" w:space="0" w:color="auto"/>
              <w:right w:val="single" w:sz="4" w:space="0" w:color="auto"/>
            </w:tcBorders>
            <w:shd w:val="clear" w:color="auto" w:fill="auto"/>
            <w:noWrap/>
            <w:vAlign w:val="bottom"/>
            <w:hideMark/>
          </w:tcPr>
          <w:p w14:paraId="01F351C6"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24 Mar 2018</w:t>
            </w:r>
          </w:p>
        </w:tc>
        <w:tc>
          <w:tcPr>
            <w:tcW w:w="1326" w:type="dxa"/>
            <w:tcBorders>
              <w:top w:val="nil"/>
              <w:left w:val="nil"/>
              <w:bottom w:val="single" w:sz="4" w:space="0" w:color="auto"/>
              <w:right w:val="single" w:sz="4" w:space="0" w:color="auto"/>
            </w:tcBorders>
            <w:shd w:val="clear" w:color="auto" w:fill="auto"/>
            <w:noWrap/>
            <w:vAlign w:val="bottom"/>
            <w:hideMark/>
          </w:tcPr>
          <w:p w14:paraId="6E94D954" w14:textId="77777777" w:rsidR="00FD6014" w:rsidRPr="00815AB8" w:rsidRDefault="00FD6014" w:rsidP="00812118">
            <w:pPr>
              <w:rPr>
                <w:rFonts w:eastAsia="Times New Roman"/>
                <w:color w:val="000000"/>
              </w:rPr>
            </w:pPr>
            <w:r>
              <w:rPr>
                <w:rFonts w:eastAsia="Times New Roman"/>
                <w:color w:val="000000"/>
              </w:rPr>
              <w:t>Dr</w:t>
            </w:r>
            <w:r w:rsidRPr="00815AB8">
              <w:rPr>
                <w:rFonts w:eastAsia="Times New Roman"/>
                <w:color w:val="000000"/>
              </w:rPr>
              <w:t> </w:t>
            </w:r>
            <w:r>
              <w:rPr>
                <w:rFonts w:eastAsia="Times New Roman"/>
                <w:color w:val="000000"/>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5F625D25" w14:textId="77777777" w:rsidR="00FD6014" w:rsidRPr="00815AB8" w:rsidRDefault="00FD6014" w:rsidP="00812118">
            <w:pPr>
              <w:rPr>
                <w:rFonts w:eastAsia="Times New Roman"/>
                <w:color w:val="000000"/>
              </w:rPr>
            </w:pPr>
            <w:r w:rsidRPr="00815AB8">
              <w:rPr>
                <w:rFonts w:eastAsia="Times New Roman"/>
                <w:color w:val="000000"/>
              </w:rPr>
              <w:t> </w:t>
            </w:r>
            <w:r>
              <w:rPr>
                <w:rFonts w:eastAsia="Times New Roman"/>
                <w:color w:val="000000"/>
              </w:rPr>
              <w:t>Version control request</w:t>
            </w:r>
          </w:p>
        </w:tc>
        <w:tc>
          <w:tcPr>
            <w:tcW w:w="2410" w:type="dxa"/>
            <w:tcBorders>
              <w:top w:val="nil"/>
              <w:left w:val="nil"/>
              <w:bottom w:val="single" w:sz="4" w:space="0" w:color="auto"/>
              <w:right w:val="single" w:sz="4" w:space="0" w:color="auto"/>
            </w:tcBorders>
            <w:shd w:val="clear" w:color="auto" w:fill="auto"/>
            <w:noWrap/>
            <w:vAlign w:val="bottom"/>
            <w:hideMark/>
          </w:tcPr>
          <w:p w14:paraId="5B9C43B5"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178B6166"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4025823"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FBFCFF"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5625AB03"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7E1E6CE6"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44B973"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422E2389"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92439D4"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CB678F"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5F50C837"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391DDC11"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9905C34"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726A0146"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F162724"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0FE89142"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68194A25"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2D3E5DFC"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CA85FA4"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4AF72CD1"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7BFCD71"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4439615C"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6858E32E"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351056F8"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EE53A37"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1D48C3EF"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77F29CB"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3472F862"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39AFA4D0"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225297E8"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59A58AD"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1BF9323F"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B916E8F"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654B2968"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0F80633C"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4B6BB037"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D540964"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7A347BD0"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2096A89"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7E48E6D4"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4DCC43C8"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305137BC"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6D3E63D"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19011568"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A7EC99B"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7D0920A3"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62360B8B"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4E65B6ED"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277D5D"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61991D80"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99EE83C"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40401B24"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765E09A5"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10A4E96B"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9B65B2"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7DC6CE3E"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A0DAE69"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09E8D61A"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446A62C3"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B98F9"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50862E6"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5B16D043"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EE325AC"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2908C7"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7042BD91"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4B6F4681"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6F0B32F"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5067391A"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5409167"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6916E7F2"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2ECD0C5A"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0B5F9F95"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E79C429"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68AF89BB"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3067CFA"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4AF55730"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411EBA82"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52E5E08C"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7E43419" w14:textId="77777777" w:rsidR="00FD6014" w:rsidRPr="00815AB8" w:rsidRDefault="00FD6014" w:rsidP="00812118">
            <w:pPr>
              <w:rPr>
                <w:rFonts w:eastAsia="Times New Roman"/>
                <w:color w:val="000000"/>
              </w:rPr>
            </w:pPr>
            <w:r w:rsidRPr="00815AB8">
              <w:rPr>
                <w:rFonts w:eastAsia="Times New Roman"/>
                <w:color w:val="000000"/>
              </w:rPr>
              <w:t> </w:t>
            </w:r>
          </w:p>
        </w:tc>
      </w:tr>
      <w:tr w:rsidR="00FD6014" w:rsidRPr="00815AB8" w14:paraId="27EE55B5" w14:textId="77777777" w:rsidTr="00812118">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143C54B" w14:textId="77777777" w:rsidR="00FD6014" w:rsidRPr="00815AB8" w:rsidRDefault="00FD6014" w:rsidP="00812118">
            <w:pPr>
              <w:rPr>
                <w:rFonts w:eastAsia="Times New Roman"/>
                <w:color w:val="000000"/>
              </w:rPr>
            </w:pPr>
            <w:r w:rsidRPr="00815AB8">
              <w:rPr>
                <w:rFonts w:eastAsia="Times New Roman"/>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0FF4997A" w14:textId="77777777" w:rsidR="00FD6014" w:rsidRPr="00815AB8" w:rsidRDefault="00FD6014" w:rsidP="00812118">
            <w:pPr>
              <w:rPr>
                <w:rFonts w:eastAsia="Times New Roman"/>
                <w:color w:val="000000"/>
              </w:rPr>
            </w:pPr>
            <w:r w:rsidRPr="00815AB8">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noWrap/>
            <w:vAlign w:val="bottom"/>
            <w:hideMark/>
          </w:tcPr>
          <w:p w14:paraId="35B09EE2" w14:textId="77777777" w:rsidR="00FD6014" w:rsidRPr="00815AB8" w:rsidRDefault="00FD6014" w:rsidP="00812118">
            <w:pPr>
              <w:rPr>
                <w:rFonts w:eastAsia="Times New Roman"/>
                <w:color w:val="000000"/>
              </w:rPr>
            </w:pPr>
            <w:r w:rsidRPr="00815AB8">
              <w:rPr>
                <w:rFonts w:eastAsia="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14:paraId="53CC1B78" w14:textId="77777777" w:rsidR="00FD6014" w:rsidRPr="00815AB8" w:rsidRDefault="00FD6014" w:rsidP="00812118">
            <w:pPr>
              <w:rPr>
                <w:rFonts w:eastAsia="Times New Roman"/>
                <w:color w:val="000000"/>
              </w:rPr>
            </w:pPr>
            <w:r w:rsidRPr="00815AB8">
              <w:rPr>
                <w:rFonts w:eastAsia="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8469C7D" w14:textId="77777777" w:rsidR="00FD6014" w:rsidRPr="00815AB8" w:rsidRDefault="00FD6014" w:rsidP="00812118">
            <w:pPr>
              <w:rPr>
                <w:rFonts w:eastAsia="Times New Roman"/>
                <w:color w:val="000000"/>
              </w:rPr>
            </w:pPr>
            <w:r w:rsidRPr="00815AB8">
              <w:rPr>
                <w:rFonts w:eastAsia="Times New Roman"/>
                <w:color w:val="000000"/>
              </w:rPr>
              <w:t> </w:t>
            </w:r>
          </w:p>
        </w:tc>
      </w:tr>
    </w:tbl>
    <w:p w14:paraId="3534AF51" w14:textId="77777777" w:rsidR="00FD6014" w:rsidRDefault="00FD6014">
      <w:pPr>
        <w:widowControl/>
        <w:autoSpaceDE/>
        <w:autoSpaceDN/>
        <w:spacing w:after="160" w:line="259" w:lineRule="auto"/>
        <w:rPr>
          <w:b/>
          <w:color w:val="00AFEF"/>
          <w:sz w:val="28"/>
        </w:rPr>
      </w:pPr>
      <w:r>
        <w:rPr>
          <w:b/>
          <w:color w:val="00AFEF"/>
          <w:sz w:val="28"/>
        </w:rPr>
        <w:br w:type="page"/>
      </w:r>
    </w:p>
    <w:p w14:paraId="1B8053E4" w14:textId="77777777" w:rsidR="00D312F5" w:rsidRDefault="00D312F5" w:rsidP="00D312F5">
      <w:pPr>
        <w:spacing w:before="18"/>
        <w:ind w:left="117"/>
        <w:rPr>
          <w:b/>
          <w:color w:val="00AFEF"/>
          <w:sz w:val="28"/>
        </w:rPr>
      </w:pPr>
    </w:p>
    <w:p w14:paraId="4054F67F" w14:textId="77777777" w:rsidR="00D312F5" w:rsidRPr="00C5743C" w:rsidRDefault="00D312F5" w:rsidP="00D312F5">
      <w:pPr>
        <w:spacing w:before="18"/>
        <w:ind w:left="117"/>
        <w:rPr>
          <w:b/>
          <w:color w:val="2F5496" w:themeColor="accent1" w:themeShade="BF"/>
          <w:sz w:val="28"/>
        </w:rPr>
      </w:pPr>
      <w:r w:rsidRPr="00C5743C">
        <w:rPr>
          <w:b/>
          <w:color w:val="2F5496" w:themeColor="accent1" w:themeShade="BF"/>
          <w:sz w:val="28"/>
        </w:rPr>
        <w:t xml:space="preserve">Fair processing notice guidance </w:t>
      </w:r>
    </w:p>
    <w:p w14:paraId="16812B13" w14:textId="77777777" w:rsidR="00D312F5" w:rsidRDefault="00D312F5" w:rsidP="00D312F5">
      <w:pPr>
        <w:pStyle w:val="BodyText"/>
        <w:spacing w:before="239"/>
        <w:ind w:left="117"/>
      </w:pPr>
      <w:r>
        <w:rPr>
          <w:color w:val="1F2A2F"/>
        </w:rPr>
        <w:t xml:space="preserve">Under the </w:t>
      </w:r>
      <w:hyperlink r:id="rId8">
        <w:r>
          <w:rPr>
            <w:color w:val="0000FF"/>
            <w:u w:val="single" w:color="0000FF"/>
          </w:rPr>
          <w:t>Data Protection Act</w:t>
        </w:r>
        <w:r>
          <w:rPr>
            <w:color w:val="0000FF"/>
          </w:rPr>
          <w:t xml:space="preserve"> </w:t>
        </w:r>
      </w:hyperlink>
      <w:r>
        <w:rPr>
          <w:color w:val="1F2A2F"/>
        </w:rPr>
        <w:t>your practice is required to process personal data fairly and lawfully. The methods by which these processes are governed and explained to patients are known as ‘fair processing’.</w:t>
      </w:r>
    </w:p>
    <w:p w14:paraId="745E2F92" w14:textId="77777777" w:rsidR="00D312F5" w:rsidRDefault="00D312F5" w:rsidP="00D312F5">
      <w:pPr>
        <w:pStyle w:val="BodyText"/>
        <w:spacing w:before="7"/>
        <w:rPr>
          <w:sz w:val="19"/>
        </w:rPr>
      </w:pPr>
    </w:p>
    <w:p w14:paraId="5C53F2AB" w14:textId="77777777" w:rsidR="00D312F5" w:rsidRDefault="00D312F5" w:rsidP="00D312F5">
      <w:pPr>
        <w:pStyle w:val="BodyText"/>
        <w:spacing w:before="1"/>
        <w:ind w:left="117" w:right="242"/>
      </w:pPr>
      <w:r>
        <w:rPr>
          <w:color w:val="1F2A2F"/>
        </w:rPr>
        <w:t>The General Data Protection Regulation (GDPR) ‘right to be informed’ encompasses the obligation to provide fair processing information, typically through a privacy notice. It emphasises the need for transparency over how you use personal data and for privacy notices to be easily assessable.</w:t>
      </w:r>
    </w:p>
    <w:p w14:paraId="1B916310" w14:textId="77777777" w:rsidR="00D312F5" w:rsidRDefault="00D312F5" w:rsidP="00D312F5">
      <w:pPr>
        <w:pStyle w:val="BodyText"/>
        <w:spacing w:before="11"/>
        <w:rPr>
          <w:sz w:val="22"/>
        </w:rPr>
      </w:pPr>
    </w:p>
    <w:p w14:paraId="33922798" w14:textId="77777777" w:rsidR="00D312F5" w:rsidRDefault="00D312F5" w:rsidP="00D312F5">
      <w:pPr>
        <w:pStyle w:val="BodyText"/>
        <w:ind w:left="117"/>
      </w:pPr>
      <w:r>
        <w:rPr>
          <w:color w:val="1F2A2F"/>
        </w:rPr>
        <w:t>Fair processing includes:</w:t>
      </w:r>
    </w:p>
    <w:p w14:paraId="0905B057" w14:textId="77777777" w:rsidR="00D312F5" w:rsidRDefault="00D312F5" w:rsidP="00D312F5">
      <w:pPr>
        <w:pStyle w:val="BodyText"/>
        <w:rPr>
          <w:sz w:val="23"/>
        </w:rPr>
      </w:pPr>
    </w:p>
    <w:p w14:paraId="3A4A9CF9" w14:textId="77777777" w:rsidR="00D312F5" w:rsidRDefault="00D312F5" w:rsidP="00D312F5">
      <w:pPr>
        <w:pStyle w:val="ListParagraph"/>
        <w:numPr>
          <w:ilvl w:val="0"/>
          <w:numId w:val="1"/>
        </w:numPr>
        <w:tabs>
          <w:tab w:val="left" w:pos="477"/>
          <w:tab w:val="left" w:pos="478"/>
        </w:tabs>
        <w:ind w:right="500"/>
        <w:rPr>
          <w:sz w:val="24"/>
        </w:rPr>
      </w:pPr>
      <w:r>
        <w:rPr>
          <w:color w:val="1F2A2F"/>
          <w:sz w:val="24"/>
        </w:rPr>
        <w:t>telling</w:t>
      </w:r>
      <w:r>
        <w:rPr>
          <w:color w:val="1F2A2F"/>
          <w:spacing w:val="-5"/>
          <w:sz w:val="24"/>
        </w:rPr>
        <w:t xml:space="preserve"> </w:t>
      </w:r>
      <w:r>
        <w:rPr>
          <w:color w:val="1F2A2F"/>
          <w:sz w:val="24"/>
        </w:rPr>
        <w:t>patients</w:t>
      </w:r>
      <w:r>
        <w:rPr>
          <w:color w:val="1F2A2F"/>
          <w:spacing w:val="-3"/>
          <w:sz w:val="24"/>
        </w:rPr>
        <w:t xml:space="preserve"> </w:t>
      </w:r>
      <w:r>
        <w:rPr>
          <w:color w:val="1F2A2F"/>
          <w:sz w:val="24"/>
        </w:rPr>
        <w:t>about</w:t>
      </w:r>
      <w:r>
        <w:rPr>
          <w:color w:val="1F2A2F"/>
          <w:spacing w:val="-3"/>
          <w:sz w:val="24"/>
        </w:rPr>
        <w:t xml:space="preserve"> </w:t>
      </w:r>
      <w:r>
        <w:rPr>
          <w:color w:val="1F2A2F"/>
          <w:sz w:val="24"/>
        </w:rPr>
        <w:t>what</w:t>
      </w:r>
      <w:r>
        <w:rPr>
          <w:color w:val="1F2A2F"/>
          <w:spacing w:val="-3"/>
          <w:sz w:val="24"/>
        </w:rPr>
        <w:t xml:space="preserve"> </w:t>
      </w:r>
      <w:r>
        <w:rPr>
          <w:color w:val="1F2A2F"/>
          <w:sz w:val="24"/>
        </w:rPr>
        <w:t>type</w:t>
      </w:r>
      <w:r>
        <w:rPr>
          <w:color w:val="1F2A2F"/>
          <w:spacing w:val="-4"/>
          <w:sz w:val="24"/>
        </w:rPr>
        <w:t xml:space="preserve"> </w:t>
      </w:r>
      <w:r>
        <w:rPr>
          <w:color w:val="1F2A2F"/>
          <w:sz w:val="24"/>
        </w:rPr>
        <w:t>of</w:t>
      </w:r>
      <w:r>
        <w:rPr>
          <w:color w:val="1F2A2F"/>
          <w:spacing w:val="-2"/>
          <w:sz w:val="24"/>
        </w:rPr>
        <w:t xml:space="preserve"> </w:t>
      </w:r>
      <w:r>
        <w:rPr>
          <w:color w:val="1F2A2F"/>
          <w:sz w:val="24"/>
        </w:rPr>
        <w:t>information</w:t>
      </w:r>
      <w:r>
        <w:rPr>
          <w:color w:val="1F2A2F"/>
          <w:spacing w:val="-3"/>
          <w:sz w:val="24"/>
        </w:rPr>
        <w:t xml:space="preserve"> </w:t>
      </w:r>
      <w:r>
        <w:rPr>
          <w:color w:val="1F2A2F"/>
          <w:sz w:val="24"/>
        </w:rPr>
        <w:t>you</w:t>
      </w:r>
      <w:r>
        <w:rPr>
          <w:color w:val="1F2A2F"/>
          <w:spacing w:val="-3"/>
          <w:sz w:val="24"/>
        </w:rPr>
        <w:t xml:space="preserve"> </w:t>
      </w:r>
      <w:r>
        <w:rPr>
          <w:color w:val="1F2A2F"/>
          <w:sz w:val="24"/>
        </w:rPr>
        <w:t>will</w:t>
      </w:r>
      <w:r>
        <w:rPr>
          <w:color w:val="1F2A2F"/>
          <w:spacing w:val="-3"/>
          <w:sz w:val="24"/>
        </w:rPr>
        <w:t xml:space="preserve"> </w:t>
      </w:r>
      <w:r>
        <w:rPr>
          <w:color w:val="1F2A2F"/>
          <w:sz w:val="24"/>
        </w:rPr>
        <w:t>collect,</w:t>
      </w:r>
      <w:r>
        <w:rPr>
          <w:color w:val="1F2A2F"/>
          <w:spacing w:val="-5"/>
          <w:sz w:val="24"/>
        </w:rPr>
        <w:t xml:space="preserve"> </w:t>
      </w:r>
      <w:r>
        <w:rPr>
          <w:color w:val="1F2A2F"/>
          <w:sz w:val="24"/>
        </w:rPr>
        <w:t>how</w:t>
      </w:r>
      <w:r>
        <w:rPr>
          <w:color w:val="1F2A2F"/>
          <w:spacing w:val="-4"/>
          <w:sz w:val="24"/>
        </w:rPr>
        <w:t xml:space="preserve"> </w:t>
      </w:r>
      <w:r>
        <w:rPr>
          <w:color w:val="1F2A2F"/>
          <w:sz w:val="24"/>
        </w:rPr>
        <w:t>you</w:t>
      </w:r>
      <w:r>
        <w:rPr>
          <w:color w:val="1F2A2F"/>
          <w:spacing w:val="-2"/>
          <w:sz w:val="24"/>
        </w:rPr>
        <w:t xml:space="preserve"> </w:t>
      </w:r>
      <w:r>
        <w:rPr>
          <w:color w:val="1F2A2F"/>
          <w:sz w:val="24"/>
        </w:rPr>
        <w:t>intend</w:t>
      </w:r>
      <w:r>
        <w:rPr>
          <w:color w:val="1F2A2F"/>
          <w:spacing w:val="-4"/>
          <w:sz w:val="24"/>
        </w:rPr>
        <w:t xml:space="preserve"> </w:t>
      </w:r>
      <w:r>
        <w:rPr>
          <w:color w:val="1F2A2F"/>
          <w:sz w:val="24"/>
        </w:rPr>
        <w:t>to</w:t>
      </w:r>
      <w:r>
        <w:rPr>
          <w:color w:val="1F2A2F"/>
          <w:spacing w:val="-4"/>
          <w:sz w:val="24"/>
        </w:rPr>
        <w:t xml:space="preserve"> </w:t>
      </w:r>
      <w:r>
        <w:rPr>
          <w:color w:val="1F2A2F"/>
          <w:sz w:val="24"/>
        </w:rPr>
        <w:t>use</w:t>
      </w:r>
      <w:r>
        <w:rPr>
          <w:color w:val="1F2A2F"/>
          <w:spacing w:val="-3"/>
          <w:sz w:val="24"/>
        </w:rPr>
        <w:t xml:space="preserve"> </w:t>
      </w:r>
      <w:r>
        <w:rPr>
          <w:color w:val="1F2A2F"/>
          <w:sz w:val="24"/>
        </w:rPr>
        <w:t>it and who you may share it</w:t>
      </w:r>
      <w:r>
        <w:rPr>
          <w:color w:val="1F2A2F"/>
          <w:spacing w:val="1"/>
          <w:sz w:val="24"/>
        </w:rPr>
        <w:t xml:space="preserve"> </w:t>
      </w:r>
      <w:r>
        <w:rPr>
          <w:color w:val="1F2A2F"/>
          <w:sz w:val="24"/>
        </w:rPr>
        <w:t>with</w:t>
      </w:r>
    </w:p>
    <w:p w14:paraId="5B74CC1B" w14:textId="77777777" w:rsidR="00D312F5" w:rsidRDefault="00D312F5" w:rsidP="00D312F5">
      <w:pPr>
        <w:pStyle w:val="ListParagraph"/>
        <w:numPr>
          <w:ilvl w:val="0"/>
          <w:numId w:val="1"/>
        </w:numPr>
        <w:tabs>
          <w:tab w:val="left" w:pos="477"/>
          <w:tab w:val="left" w:pos="478"/>
        </w:tabs>
        <w:ind w:right="1183"/>
        <w:rPr>
          <w:sz w:val="24"/>
        </w:rPr>
      </w:pPr>
      <w:r>
        <w:rPr>
          <w:color w:val="1F2A2F"/>
          <w:sz w:val="24"/>
        </w:rPr>
        <w:t>providing assurance to patients that their data will be safe, confidential and used appropriately if they share it with</w:t>
      </w:r>
      <w:r>
        <w:rPr>
          <w:color w:val="1F2A2F"/>
          <w:spacing w:val="-2"/>
          <w:sz w:val="24"/>
        </w:rPr>
        <w:t xml:space="preserve"> </w:t>
      </w:r>
      <w:r>
        <w:rPr>
          <w:color w:val="1F2A2F"/>
          <w:sz w:val="24"/>
        </w:rPr>
        <w:t>you</w:t>
      </w:r>
    </w:p>
    <w:p w14:paraId="2AC704DF" w14:textId="77777777" w:rsidR="00D312F5" w:rsidRDefault="00D312F5" w:rsidP="00D312F5">
      <w:pPr>
        <w:pStyle w:val="ListParagraph"/>
        <w:numPr>
          <w:ilvl w:val="0"/>
          <w:numId w:val="1"/>
        </w:numPr>
        <w:tabs>
          <w:tab w:val="left" w:pos="477"/>
          <w:tab w:val="left" w:pos="478"/>
        </w:tabs>
        <w:spacing w:line="290" w:lineRule="exact"/>
        <w:rPr>
          <w:sz w:val="24"/>
        </w:rPr>
      </w:pPr>
      <w:r>
        <w:rPr>
          <w:color w:val="1F2A2F"/>
          <w:sz w:val="24"/>
        </w:rPr>
        <w:t>enabling patients to opt out of sharing their data and making them aware of their</w:t>
      </w:r>
      <w:r>
        <w:rPr>
          <w:color w:val="1F2A2F"/>
          <w:spacing w:val="-26"/>
          <w:sz w:val="24"/>
        </w:rPr>
        <w:t xml:space="preserve"> </w:t>
      </w:r>
      <w:r>
        <w:rPr>
          <w:color w:val="1F2A2F"/>
          <w:sz w:val="24"/>
        </w:rPr>
        <w:t>rights</w:t>
      </w:r>
    </w:p>
    <w:p w14:paraId="3012A96B" w14:textId="77777777" w:rsidR="00D312F5" w:rsidRDefault="00D312F5" w:rsidP="00D312F5">
      <w:pPr>
        <w:pStyle w:val="BodyText"/>
        <w:spacing w:before="2"/>
        <w:rPr>
          <w:sz w:val="23"/>
        </w:rPr>
      </w:pPr>
    </w:p>
    <w:p w14:paraId="56FA2F82" w14:textId="77777777" w:rsidR="00D312F5" w:rsidRDefault="00D312F5" w:rsidP="00D312F5">
      <w:pPr>
        <w:pStyle w:val="BodyText"/>
        <w:spacing w:before="1"/>
        <w:ind w:left="117" w:right="371"/>
      </w:pPr>
      <w:r>
        <w:rPr>
          <w:color w:val="1F2A2F"/>
        </w:rPr>
        <w:t xml:space="preserve">The attached exemplar privacy notice has been developed in line with ICO guidance and NHS </w:t>
      </w:r>
      <w:r>
        <w:t>England’s fair processing checklist and guidance for GPs and should be adapted/localised as follows:</w:t>
      </w:r>
    </w:p>
    <w:p w14:paraId="56FD6C8F" w14:textId="77777777" w:rsidR="00D312F5" w:rsidRDefault="00D312F5" w:rsidP="00D312F5">
      <w:pPr>
        <w:pStyle w:val="BodyText"/>
        <w:spacing w:before="11"/>
        <w:rPr>
          <w:sz w:val="22"/>
        </w:rPr>
      </w:pPr>
    </w:p>
    <w:p w14:paraId="533A9E16" w14:textId="77777777" w:rsidR="00D312F5" w:rsidRDefault="00D312F5" w:rsidP="00D312F5">
      <w:pPr>
        <w:pStyle w:val="ListParagraph"/>
        <w:numPr>
          <w:ilvl w:val="0"/>
          <w:numId w:val="1"/>
        </w:numPr>
        <w:tabs>
          <w:tab w:val="left" w:pos="477"/>
          <w:tab w:val="left" w:pos="478"/>
        </w:tabs>
        <w:ind w:right="1027"/>
        <w:rPr>
          <w:sz w:val="24"/>
        </w:rPr>
      </w:pPr>
      <w:r>
        <w:rPr>
          <w:color w:val="1F2A2F"/>
          <w:sz w:val="24"/>
        </w:rPr>
        <w:t>use a title which is meaningful to patients such as “How we use your information”; “Protecting your confidentiality” or “Privacy</w:t>
      </w:r>
      <w:r>
        <w:rPr>
          <w:color w:val="1F2A2F"/>
          <w:spacing w:val="-10"/>
          <w:sz w:val="24"/>
        </w:rPr>
        <w:t xml:space="preserve"> </w:t>
      </w:r>
      <w:r>
        <w:rPr>
          <w:color w:val="1F2A2F"/>
          <w:sz w:val="24"/>
        </w:rPr>
        <w:t>Notice”.</w:t>
      </w:r>
    </w:p>
    <w:p w14:paraId="0ACFA0AA" w14:textId="77777777" w:rsidR="00D312F5" w:rsidRDefault="00D312F5" w:rsidP="00D312F5">
      <w:pPr>
        <w:pStyle w:val="ListParagraph"/>
        <w:numPr>
          <w:ilvl w:val="0"/>
          <w:numId w:val="1"/>
        </w:numPr>
        <w:tabs>
          <w:tab w:val="left" w:pos="477"/>
          <w:tab w:val="left" w:pos="478"/>
        </w:tabs>
        <w:spacing w:line="293" w:lineRule="exact"/>
        <w:rPr>
          <w:sz w:val="24"/>
        </w:rPr>
      </w:pPr>
      <w:r>
        <w:rPr>
          <w:color w:val="1F2A2F"/>
          <w:sz w:val="24"/>
        </w:rPr>
        <w:t>update the contact details on page 7 before making the privacy notice</w:t>
      </w:r>
      <w:r>
        <w:rPr>
          <w:color w:val="1F2A2F"/>
          <w:spacing w:val="-8"/>
          <w:sz w:val="24"/>
        </w:rPr>
        <w:t xml:space="preserve"> </w:t>
      </w:r>
      <w:r>
        <w:rPr>
          <w:color w:val="1F2A2F"/>
          <w:sz w:val="24"/>
        </w:rPr>
        <w:t>available.</w:t>
      </w:r>
    </w:p>
    <w:p w14:paraId="5A535819" w14:textId="77777777" w:rsidR="00D312F5" w:rsidRDefault="00D312F5" w:rsidP="00D312F5">
      <w:pPr>
        <w:pStyle w:val="ListParagraph"/>
        <w:numPr>
          <w:ilvl w:val="0"/>
          <w:numId w:val="1"/>
        </w:numPr>
        <w:tabs>
          <w:tab w:val="left" w:pos="478"/>
        </w:tabs>
        <w:ind w:right="304"/>
        <w:jc w:val="both"/>
        <w:rPr>
          <w:i/>
          <w:sz w:val="24"/>
        </w:rPr>
      </w:pPr>
      <w:r>
        <w:rPr>
          <w:color w:val="1F2A2F"/>
          <w:sz w:val="24"/>
        </w:rPr>
        <w:t xml:space="preserve">add details of any data processing that may be unique to your practice/locality e.g. if you are an Oxford University College Doctor </w:t>
      </w:r>
      <w:r>
        <w:rPr>
          <w:sz w:val="24"/>
        </w:rPr>
        <w:t xml:space="preserve">practice or in an Oxfordshire GP Federation </w:t>
      </w:r>
      <w:r>
        <w:rPr>
          <w:color w:val="1F2A2F"/>
          <w:sz w:val="24"/>
        </w:rPr>
        <w:t xml:space="preserve">– </w:t>
      </w:r>
      <w:r>
        <w:rPr>
          <w:i/>
          <w:color w:val="1F2A2F"/>
          <w:sz w:val="24"/>
        </w:rPr>
        <w:t>see example additional data processing text below</w:t>
      </w:r>
    </w:p>
    <w:p w14:paraId="4A6795B7" w14:textId="77777777" w:rsidR="00D312F5" w:rsidRDefault="00D312F5" w:rsidP="00D312F5">
      <w:pPr>
        <w:pStyle w:val="ListParagraph"/>
        <w:numPr>
          <w:ilvl w:val="0"/>
          <w:numId w:val="1"/>
        </w:numPr>
        <w:tabs>
          <w:tab w:val="left" w:pos="477"/>
          <w:tab w:val="left" w:pos="478"/>
        </w:tabs>
        <w:ind w:right="429"/>
        <w:rPr>
          <w:sz w:val="24"/>
        </w:rPr>
      </w:pPr>
      <w:r>
        <w:rPr>
          <w:color w:val="1F2A2F"/>
          <w:sz w:val="24"/>
        </w:rPr>
        <w:t>consider user testing your privacy notice with your Patient Participation Group members prior to</w:t>
      </w:r>
      <w:r>
        <w:rPr>
          <w:color w:val="1F2A2F"/>
          <w:spacing w:val="-5"/>
          <w:sz w:val="24"/>
        </w:rPr>
        <w:t xml:space="preserve"> </w:t>
      </w:r>
      <w:r>
        <w:rPr>
          <w:color w:val="1F2A2F"/>
          <w:sz w:val="24"/>
        </w:rPr>
        <w:t>publication</w:t>
      </w:r>
    </w:p>
    <w:p w14:paraId="02E77722" w14:textId="77777777" w:rsidR="00D312F5" w:rsidRDefault="00D312F5" w:rsidP="00D312F5">
      <w:pPr>
        <w:pStyle w:val="ListParagraph"/>
        <w:numPr>
          <w:ilvl w:val="0"/>
          <w:numId w:val="1"/>
        </w:numPr>
        <w:tabs>
          <w:tab w:val="left" w:pos="477"/>
          <w:tab w:val="left" w:pos="478"/>
        </w:tabs>
        <w:spacing w:line="242" w:lineRule="auto"/>
        <w:ind w:right="459"/>
        <w:rPr>
          <w:sz w:val="24"/>
        </w:rPr>
      </w:pPr>
      <w:r>
        <w:rPr>
          <w:color w:val="1F2A2F"/>
          <w:sz w:val="24"/>
        </w:rPr>
        <w:t>give thought to providing the information as a layered notice (i.e. with links to individual sections of the</w:t>
      </w:r>
      <w:r>
        <w:rPr>
          <w:color w:val="1F2A2F"/>
          <w:spacing w:val="-5"/>
          <w:sz w:val="24"/>
        </w:rPr>
        <w:t xml:space="preserve"> </w:t>
      </w:r>
      <w:r>
        <w:rPr>
          <w:color w:val="1F2A2F"/>
          <w:sz w:val="24"/>
        </w:rPr>
        <w:t>notice)</w:t>
      </w:r>
    </w:p>
    <w:p w14:paraId="04D20B2D" w14:textId="77777777" w:rsidR="00D312F5" w:rsidRDefault="00D312F5" w:rsidP="00D312F5">
      <w:pPr>
        <w:pStyle w:val="ListParagraph"/>
        <w:numPr>
          <w:ilvl w:val="0"/>
          <w:numId w:val="1"/>
        </w:numPr>
        <w:tabs>
          <w:tab w:val="left" w:pos="477"/>
          <w:tab w:val="left" w:pos="478"/>
        </w:tabs>
        <w:spacing w:line="287" w:lineRule="exact"/>
        <w:rPr>
          <w:sz w:val="24"/>
        </w:rPr>
      </w:pPr>
      <w:r>
        <w:rPr>
          <w:color w:val="1F2A2F"/>
          <w:sz w:val="24"/>
        </w:rPr>
        <w:t>make the privacy notice easily assessable on your website and in your reception</w:t>
      </w:r>
      <w:r>
        <w:rPr>
          <w:color w:val="1F2A2F"/>
          <w:spacing w:val="-13"/>
          <w:sz w:val="24"/>
        </w:rPr>
        <w:t xml:space="preserve"> </w:t>
      </w:r>
      <w:r>
        <w:rPr>
          <w:color w:val="1F2A2F"/>
          <w:sz w:val="24"/>
        </w:rPr>
        <w:t>area</w:t>
      </w:r>
    </w:p>
    <w:p w14:paraId="09037D31" w14:textId="77777777" w:rsidR="00D312F5" w:rsidRDefault="00D312F5" w:rsidP="00D312F5">
      <w:pPr>
        <w:pStyle w:val="BodyText"/>
        <w:spacing w:before="2"/>
        <w:rPr>
          <w:sz w:val="23"/>
        </w:rPr>
      </w:pPr>
    </w:p>
    <w:p w14:paraId="66242862" w14:textId="7357AF03" w:rsidR="00D312F5" w:rsidRDefault="00D62B28" w:rsidP="00D312F5">
      <w:pPr>
        <w:ind w:left="117"/>
        <w:rPr>
          <w:b/>
          <w:sz w:val="24"/>
        </w:rPr>
      </w:pPr>
      <w:r>
        <w:rPr>
          <w:b/>
          <w:sz w:val="24"/>
        </w:rPr>
        <w:t xml:space="preserve">CCG &amp; </w:t>
      </w:r>
      <w:r w:rsidR="00D312F5">
        <w:rPr>
          <w:b/>
          <w:sz w:val="24"/>
        </w:rPr>
        <w:t>GP Federation Services</w:t>
      </w:r>
    </w:p>
    <w:p w14:paraId="142E200E" w14:textId="77777777" w:rsidR="00D312F5" w:rsidRDefault="00D312F5" w:rsidP="00D312F5">
      <w:pPr>
        <w:pStyle w:val="BodyText"/>
        <w:spacing w:before="2"/>
        <w:rPr>
          <w:b/>
          <w:sz w:val="23"/>
        </w:rPr>
      </w:pPr>
    </w:p>
    <w:p w14:paraId="48907481" w14:textId="7066B0EB" w:rsidR="00D312F5" w:rsidRDefault="00D312F5" w:rsidP="00D312F5">
      <w:pPr>
        <w:pStyle w:val="BodyText"/>
        <w:ind w:left="117" w:right="112"/>
      </w:pPr>
      <w:r>
        <w:t xml:space="preserve">As a member of the </w:t>
      </w:r>
      <w:r w:rsidR="00D62B28">
        <w:t>Ealing CCG &amp; GP</w:t>
      </w:r>
      <w:r>
        <w:t xml:space="preserve"> Federation we work with other local practices and Federation-managed services to provide joined up healthcare. Authorised healthcare </w:t>
      </w:r>
      <w:proofErr w:type="gramStart"/>
      <w:r>
        <w:t>staff</w:t>
      </w:r>
      <w:proofErr w:type="gramEnd"/>
      <w:r>
        <w:t xml:space="preserve"> who are involved in your health care are able to access relevant information in your GP record.</w:t>
      </w:r>
    </w:p>
    <w:p w14:paraId="68D25446" w14:textId="77777777" w:rsidR="00D312F5" w:rsidRDefault="00D312F5" w:rsidP="00D312F5">
      <w:pPr>
        <w:pStyle w:val="BodyText"/>
        <w:spacing w:before="2" w:line="237" w:lineRule="auto"/>
        <w:ind w:left="117" w:right="472"/>
      </w:pPr>
      <w:r>
        <w:t>Some clinicians are also able to add consultation details to ensure your record is updated as soon as possible. Access is strictly controlled by your practice.</w:t>
      </w:r>
    </w:p>
    <w:p w14:paraId="67F7F258" w14:textId="77777777" w:rsidR="00D312F5" w:rsidRDefault="00D312F5" w:rsidP="00D312F5">
      <w:pPr>
        <w:spacing w:line="237" w:lineRule="auto"/>
        <w:sectPr w:rsidR="00D312F5" w:rsidSect="00D312F5">
          <w:headerReference w:type="default" r:id="rId9"/>
          <w:footerReference w:type="default" r:id="rId10"/>
          <w:pgSz w:w="11910" w:h="16840"/>
          <w:pgMar w:top="1240" w:right="1200" w:bottom="1020" w:left="1160" w:header="720" w:footer="828" w:gutter="0"/>
          <w:cols w:space="720"/>
        </w:sectPr>
      </w:pPr>
    </w:p>
    <w:p w14:paraId="12840D61" w14:textId="77777777" w:rsidR="00D312F5" w:rsidRDefault="00D312F5" w:rsidP="00D312F5">
      <w:pPr>
        <w:pStyle w:val="Heading1"/>
      </w:pPr>
      <w:bookmarkStart w:id="0" w:name="_GoBack"/>
      <w:bookmarkEnd w:id="0"/>
    </w:p>
    <w:p w14:paraId="6F01EA66" w14:textId="7F42D5CA" w:rsidR="00D312F5" w:rsidRDefault="00D312F5" w:rsidP="00D312F5">
      <w:pPr>
        <w:pStyle w:val="BodyText"/>
        <w:spacing w:before="2"/>
        <w:ind w:left="117" w:right="132"/>
      </w:pPr>
      <w:r>
        <w:t xml:space="preserve">Our practice is involved in </w:t>
      </w:r>
      <w:r w:rsidR="00D62B28">
        <w:t xml:space="preserve">some work experience and </w:t>
      </w:r>
      <w:r>
        <w:t>the training. If staff would like a student to be present they will always ask for your permission before the start of the consultation. The treatment or care you receive will not be affected if you refuse to have a student present during your appointment.</w:t>
      </w:r>
    </w:p>
    <w:p w14:paraId="378A32AE" w14:textId="77777777" w:rsidR="00D312F5" w:rsidRDefault="00D312F5" w:rsidP="00D312F5">
      <w:pPr>
        <w:pStyle w:val="BodyText"/>
        <w:spacing w:before="11"/>
        <w:rPr>
          <w:sz w:val="23"/>
        </w:rPr>
      </w:pPr>
    </w:p>
    <w:p w14:paraId="4BC71F24" w14:textId="77777777" w:rsidR="00D312F5" w:rsidRDefault="00D312F5" w:rsidP="00D312F5">
      <w:pPr>
        <w:pStyle w:val="BodyText"/>
        <w:ind w:left="117" w:right="168"/>
      </w:pPr>
      <w:r>
        <w:t>It is usual for GPs to discuss patient case histories as part of their continuing medical education or for the purpose of training GPs and/or medical students. In these situations the identity of the patient concerned will not be revealed.</w:t>
      </w:r>
    </w:p>
    <w:p w14:paraId="3102916E" w14:textId="77777777" w:rsidR="00D312F5" w:rsidRDefault="00D312F5" w:rsidP="00D312F5">
      <w:pPr>
        <w:pStyle w:val="BodyText"/>
      </w:pPr>
    </w:p>
    <w:p w14:paraId="4A91EB46" w14:textId="77777777" w:rsidR="00D312F5" w:rsidRDefault="00D312F5" w:rsidP="00D312F5">
      <w:pPr>
        <w:pStyle w:val="BodyText"/>
      </w:pPr>
    </w:p>
    <w:p w14:paraId="5AFBACC0" w14:textId="77777777" w:rsidR="00D312F5" w:rsidRDefault="00D312F5" w:rsidP="00D312F5">
      <w:pPr>
        <w:pStyle w:val="BodyText"/>
        <w:spacing w:before="7"/>
        <w:rPr>
          <w:sz w:val="19"/>
        </w:rPr>
      </w:pPr>
    </w:p>
    <w:p w14:paraId="041F372B" w14:textId="77777777" w:rsidR="00D312F5" w:rsidRDefault="00D312F5" w:rsidP="00D312F5">
      <w:pPr>
        <w:spacing w:before="1"/>
        <w:ind w:left="117"/>
        <w:rPr>
          <w:b/>
        </w:rPr>
      </w:pPr>
      <w:r>
        <w:rPr>
          <w:b/>
          <w:color w:val="1F2A2F"/>
        </w:rPr>
        <w:t>Further guidance</w:t>
      </w:r>
    </w:p>
    <w:p w14:paraId="3C9411F0" w14:textId="77777777" w:rsidR="00D312F5" w:rsidRDefault="00D312F5" w:rsidP="00D312F5">
      <w:pPr>
        <w:pStyle w:val="BodyText"/>
        <w:rPr>
          <w:b/>
          <w:sz w:val="23"/>
        </w:rPr>
      </w:pPr>
    </w:p>
    <w:p w14:paraId="1780E933" w14:textId="77777777" w:rsidR="00D312F5" w:rsidRDefault="00D312F5" w:rsidP="00D312F5">
      <w:pPr>
        <w:ind w:left="117" w:right="1522"/>
      </w:pPr>
      <w:r>
        <w:rPr>
          <w:color w:val="1F2A2F"/>
        </w:rPr>
        <w:t xml:space="preserve">Information Commission Office (ICO) </w:t>
      </w:r>
      <w:hyperlink r:id="rId11">
        <w:r>
          <w:rPr>
            <w:color w:val="0000FF"/>
            <w:u w:val="single" w:color="0000FF"/>
          </w:rPr>
          <w:t>https://ico.org.uk/for-organisations/guide-to-data-</w:t>
        </w:r>
      </w:hyperlink>
      <w:r>
        <w:rPr>
          <w:color w:val="0000FF"/>
        </w:rPr>
        <w:t xml:space="preserve"> </w:t>
      </w:r>
      <w:hyperlink r:id="rId12">
        <w:r>
          <w:rPr>
            <w:color w:val="0000FF"/>
            <w:u w:val="single" w:color="0000FF"/>
          </w:rPr>
          <w:t>protection/privacy-notices-transparency-and-control/</w:t>
        </w:r>
      </w:hyperlink>
    </w:p>
    <w:p w14:paraId="477F082B" w14:textId="77777777" w:rsidR="00D312F5" w:rsidRDefault="00D312F5" w:rsidP="00D312F5">
      <w:pPr>
        <w:pStyle w:val="BodyText"/>
        <w:spacing w:before="3"/>
        <w:rPr>
          <w:sz w:val="18"/>
        </w:rPr>
      </w:pPr>
    </w:p>
    <w:p w14:paraId="6F692DC3" w14:textId="77777777" w:rsidR="00D312F5" w:rsidRDefault="00D312F5" w:rsidP="00D312F5">
      <w:pPr>
        <w:spacing w:before="56"/>
        <w:ind w:left="117" w:right="614"/>
      </w:pPr>
      <w:r>
        <w:t xml:space="preserve">Privacy notices under the EU General Data Protection Regulation </w:t>
      </w:r>
      <w:hyperlink r:id="rId13">
        <w:r>
          <w:rPr>
            <w:color w:val="0000FF"/>
            <w:u w:val="single" w:color="0000FF"/>
          </w:rPr>
          <w:t>https://ico.org.uk/for-</w:t>
        </w:r>
      </w:hyperlink>
      <w:r>
        <w:rPr>
          <w:color w:val="0000FF"/>
        </w:rPr>
        <w:t xml:space="preserve"> </w:t>
      </w:r>
      <w:hyperlink r:id="rId14">
        <w:r>
          <w:rPr>
            <w:color w:val="0000FF"/>
            <w:u w:val="single" w:color="0000FF"/>
          </w:rPr>
          <w:t>organisations/guide-to-data-protection/privacy-notices-transparency-and-control/privacy-notices-</w:t>
        </w:r>
      </w:hyperlink>
      <w:r>
        <w:rPr>
          <w:color w:val="0000FF"/>
        </w:rPr>
        <w:t xml:space="preserve"> </w:t>
      </w:r>
      <w:hyperlink r:id="rId15">
        <w:r>
          <w:rPr>
            <w:color w:val="0000FF"/>
            <w:u w:val="single" w:color="0000FF"/>
          </w:rPr>
          <w:t>under-the-</w:t>
        </w:r>
        <w:proofErr w:type="spellStart"/>
        <w:r>
          <w:rPr>
            <w:color w:val="0000FF"/>
            <w:u w:val="single" w:color="0000FF"/>
          </w:rPr>
          <w:t>eu</w:t>
        </w:r>
        <w:proofErr w:type="spellEnd"/>
        <w:r>
          <w:rPr>
            <w:color w:val="0000FF"/>
            <w:u w:val="single" w:color="0000FF"/>
          </w:rPr>
          <w:t>-general-data-protection-regulation/</w:t>
        </w:r>
      </w:hyperlink>
    </w:p>
    <w:p w14:paraId="310D915E" w14:textId="77777777" w:rsidR="00D312F5" w:rsidRDefault="00D312F5" w:rsidP="00D312F5">
      <w:pPr>
        <w:pStyle w:val="BodyText"/>
        <w:spacing w:before="6"/>
        <w:rPr>
          <w:sz w:val="18"/>
        </w:rPr>
      </w:pPr>
    </w:p>
    <w:p w14:paraId="708EA2FB" w14:textId="77777777" w:rsidR="00D312F5" w:rsidRDefault="00D312F5" w:rsidP="00D312F5">
      <w:pPr>
        <w:spacing w:before="56"/>
        <w:ind w:left="117"/>
      </w:pPr>
      <w:r>
        <w:t xml:space="preserve">NHS England </w:t>
      </w:r>
      <w:hyperlink r:id="rId16">
        <w:r>
          <w:rPr>
            <w:color w:val="0000FF"/>
            <w:u w:val="single" w:color="0000FF"/>
          </w:rPr>
          <w:t>https://www.england.nhs.uk/ig/ig-fair-process/fair-process-gps/</w:t>
        </w:r>
      </w:hyperlink>
    </w:p>
    <w:p w14:paraId="2B0F5D3D" w14:textId="77777777" w:rsidR="00D312F5" w:rsidRDefault="00D312F5" w:rsidP="00D312F5">
      <w:pPr>
        <w:pStyle w:val="BodyText"/>
        <w:spacing w:before="3"/>
        <w:rPr>
          <w:sz w:val="18"/>
        </w:rPr>
      </w:pPr>
    </w:p>
    <w:p w14:paraId="677A1BD1" w14:textId="77777777" w:rsidR="00AD6EBB" w:rsidRDefault="00AD6EBB"/>
    <w:sectPr w:rsidR="00AD6EBB">
      <w:pgSz w:w="11910" w:h="16840"/>
      <w:pgMar w:top="1220" w:right="1200" w:bottom="1020" w:left="1160" w:header="0" w:footer="8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5DCC" w14:textId="77777777" w:rsidR="00D67B0E" w:rsidRDefault="00D67B0E">
      <w:r>
        <w:separator/>
      </w:r>
    </w:p>
  </w:endnote>
  <w:endnote w:type="continuationSeparator" w:id="0">
    <w:p w14:paraId="3BD72B55" w14:textId="77777777" w:rsidR="00D67B0E" w:rsidRDefault="00D6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291A" w14:textId="78C418EB" w:rsidR="00D8790B" w:rsidRDefault="00D312F5">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3C01C481" wp14:editId="601960C7">
              <wp:simplePos x="0" y="0"/>
              <wp:positionH relativeFrom="page">
                <wp:posOffset>862634</wp:posOffset>
              </wp:positionH>
              <wp:positionV relativeFrom="page">
                <wp:posOffset>10109503</wp:posOffset>
              </wp:positionV>
              <wp:extent cx="5593687" cy="211422"/>
              <wp:effectExtent l="0" t="0" r="762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687" cy="21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A80C" w14:textId="026F8BC4" w:rsidR="00D8790B" w:rsidRPr="008A63F2" w:rsidRDefault="00C5743C">
                          <w:pPr>
                            <w:spacing w:line="184" w:lineRule="exact"/>
                            <w:ind w:left="20"/>
                            <w:rPr>
                              <w:sz w:val="18"/>
                            </w:rPr>
                          </w:pPr>
                          <w:r>
                            <w:rPr>
                              <w:sz w:val="18"/>
                            </w:rPr>
                            <w:t>Fair Processing Notice Guidance V 1.0</w:t>
                          </w:r>
                          <w:r w:rsidR="002077C2">
                            <w:rPr>
                              <w:sz w:val="18"/>
                            </w:rPr>
                            <w:t>2</w:t>
                          </w:r>
                          <w:r>
                            <w:rPr>
                              <w:sz w:val="18"/>
                            </w:rPr>
                            <w:tab/>
                          </w:r>
                          <w:r>
                            <w:rPr>
                              <w:sz w:val="18"/>
                            </w:rPr>
                            <w:tab/>
                          </w:r>
                          <w:r>
                            <w:rPr>
                              <w:sz w:val="18"/>
                            </w:rPr>
                            <w:tab/>
                          </w:r>
                          <w:r>
                            <w:rPr>
                              <w:sz w:val="18"/>
                            </w:rPr>
                            <w:tab/>
                          </w:r>
                          <w:r>
                            <w:rPr>
                              <w:sz w:val="18"/>
                            </w:rPr>
                            <w:tab/>
                          </w:r>
                          <w:r>
                            <w:rPr>
                              <w:sz w:val="18"/>
                            </w:rPr>
                            <w:tab/>
                          </w:r>
                          <w:r>
                            <w:rPr>
                              <w:sz w:val="18"/>
                            </w:rPr>
                            <w:tab/>
                          </w:r>
                          <w:r>
                            <w:rPr>
                              <w:sz w:val="18"/>
                            </w:rPr>
                            <w:tab/>
                          </w:r>
                          <w:r w:rsidR="008A63F2" w:rsidRPr="008A63F2">
                            <w:rPr>
                              <w:sz w:val="18"/>
                            </w:rPr>
                            <w:t>May</w:t>
                          </w:r>
                          <w:r w:rsidR="00D312F5" w:rsidRPr="008A63F2">
                            <w:rPr>
                              <w:sz w:val="18"/>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01C481" id="_x0000_t202" coordsize="21600,21600" o:spt="202" path="m,l,21600r21600,l21600,xe">
              <v:stroke joinstyle="miter"/>
              <v:path gradientshapeok="t" o:connecttype="rect"/>
            </v:shapetype>
            <v:shape id="Text Box 2" o:spid="_x0000_s1026" type="#_x0000_t202" style="position:absolute;margin-left:67.9pt;margin-top:796pt;width:440.45pt;height:1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6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" filled="f" stroked="f">
              <v:textbox inset="0,0,0,0">
                <w:txbxContent>
                  <w:p w14:paraId="387CA80C" w14:textId="026F8BC4" w:rsidR="00D8790B" w:rsidRPr="008A63F2" w:rsidRDefault="00C5743C">
                    <w:pPr>
                      <w:spacing w:line="184" w:lineRule="exact"/>
                      <w:ind w:left="20"/>
                      <w:rPr>
                        <w:sz w:val="18"/>
                      </w:rPr>
                    </w:pPr>
                    <w:r>
                      <w:rPr>
                        <w:sz w:val="18"/>
                      </w:rPr>
                      <w:t>Fair Processing Notice Guidance V 1.0</w:t>
                    </w:r>
                    <w:r w:rsidR="002077C2">
                      <w:rPr>
                        <w:sz w:val="18"/>
                      </w:rPr>
                      <w:t>2</w:t>
                    </w:r>
                    <w:r>
                      <w:rPr>
                        <w:sz w:val="18"/>
                      </w:rPr>
                      <w:tab/>
                    </w:r>
                    <w:r>
                      <w:rPr>
                        <w:sz w:val="18"/>
                      </w:rPr>
                      <w:tab/>
                    </w:r>
                    <w:r>
                      <w:rPr>
                        <w:sz w:val="18"/>
                      </w:rPr>
                      <w:tab/>
                    </w:r>
                    <w:r>
                      <w:rPr>
                        <w:sz w:val="18"/>
                      </w:rPr>
                      <w:tab/>
                    </w:r>
                    <w:r>
                      <w:rPr>
                        <w:sz w:val="18"/>
                      </w:rPr>
                      <w:tab/>
                    </w:r>
                    <w:r>
                      <w:rPr>
                        <w:sz w:val="18"/>
                      </w:rPr>
                      <w:tab/>
                    </w:r>
                    <w:r>
                      <w:rPr>
                        <w:sz w:val="18"/>
                      </w:rPr>
                      <w:tab/>
                    </w:r>
                    <w:r>
                      <w:rPr>
                        <w:sz w:val="18"/>
                      </w:rPr>
                      <w:tab/>
                    </w:r>
                    <w:r w:rsidR="008A63F2" w:rsidRPr="008A63F2">
                      <w:rPr>
                        <w:sz w:val="18"/>
                      </w:rPr>
                      <w:t>May</w:t>
                    </w:r>
                    <w:r w:rsidR="00D312F5" w:rsidRPr="008A63F2">
                      <w:rPr>
                        <w:sz w:val="18"/>
                      </w:rPr>
                      <w:t xml:space="preserve">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2EDAB" w14:textId="77777777" w:rsidR="00D67B0E" w:rsidRDefault="00D67B0E">
      <w:r>
        <w:separator/>
      </w:r>
    </w:p>
  </w:footnote>
  <w:footnote w:type="continuationSeparator" w:id="0">
    <w:p w14:paraId="150E557E" w14:textId="77777777" w:rsidR="00D67B0E" w:rsidRDefault="00D6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371B1" w14:textId="0F29610F" w:rsidR="000B7359" w:rsidRDefault="00D312F5" w:rsidP="000B7359">
    <w:pPr>
      <w:pStyle w:val="Header"/>
      <w:jc w:val="center"/>
      <w:rPr>
        <w:sz w:val="28"/>
      </w:rPr>
    </w:pPr>
    <w:r>
      <w:rPr>
        <w:noProof/>
        <w:sz w:val="28"/>
        <w:lang w:bidi="ar-SA"/>
      </w:rPr>
      <w:drawing>
        <wp:anchor distT="0" distB="0" distL="114300" distR="114300" simplePos="0" relativeHeight="251659264" behindDoc="0" locked="0" layoutInCell="1" allowOverlap="1" wp14:anchorId="4CD32659" wp14:editId="5B7302AA">
          <wp:simplePos x="0" y="0"/>
          <wp:positionH relativeFrom="column">
            <wp:posOffset>5163392</wp:posOffset>
          </wp:positionH>
          <wp:positionV relativeFrom="paragraph">
            <wp:posOffset>-442465</wp:posOffset>
          </wp:positionV>
          <wp:extent cx="1301750" cy="976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a:extLst>
                      <a:ext uri="{28A0092B-C50C-407E-A947-70E740481C1C}">
                        <a14:useLocalDpi xmlns:a14="http://schemas.microsoft.com/office/drawing/2010/main" val="0"/>
                      </a:ext>
                    </a:extLst>
                  </a:blip>
                  <a:stretch>
                    <a:fillRect/>
                  </a:stretch>
                </pic:blipFill>
                <pic:spPr>
                  <a:xfrm>
                    <a:off x="0" y="0"/>
                    <a:ext cx="1301750" cy="976630"/>
                  </a:xfrm>
                  <a:prstGeom prst="rect">
                    <a:avLst/>
                  </a:prstGeom>
                </pic:spPr>
              </pic:pic>
            </a:graphicData>
          </a:graphic>
        </wp:anchor>
      </w:drawing>
    </w:r>
    <w:r w:rsidR="00696F38">
      <w:rPr>
        <w:sz w:val="28"/>
      </w:rPr>
      <w:t>Dr H Nay Lin</w:t>
    </w:r>
  </w:p>
  <w:p w14:paraId="14DD76F5" w14:textId="417D3DF0" w:rsidR="00696F38" w:rsidRPr="000B7359" w:rsidRDefault="00696F38" w:rsidP="000B7359">
    <w:pPr>
      <w:pStyle w:val="Header"/>
      <w:jc w:val="center"/>
      <w:rPr>
        <w:sz w:val="28"/>
      </w:rPr>
    </w:pPr>
    <w:r>
      <w:rPr>
        <w:sz w:val="28"/>
      </w:rPr>
      <w:t>Mattock Lane Health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C122E"/>
    <w:multiLevelType w:val="hybridMultilevel"/>
    <w:tmpl w:val="60E6CE4C"/>
    <w:lvl w:ilvl="0" w:tplc="C802A6D0">
      <w:numFmt w:val="bullet"/>
      <w:lvlText w:val=""/>
      <w:lvlJc w:val="left"/>
      <w:pPr>
        <w:ind w:left="477" w:hanging="360"/>
      </w:pPr>
      <w:rPr>
        <w:rFonts w:ascii="Wingdings" w:eastAsia="Wingdings" w:hAnsi="Wingdings" w:cs="Wingdings" w:hint="default"/>
        <w:color w:val="1F2A2F"/>
        <w:w w:val="100"/>
        <w:sz w:val="24"/>
        <w:szCs w:val="24"/>
        <w:lang w:val="en-GB" w:eastAsia="en-GB" w:bidi="en-GB"/>
      </w:rPr>
    </w:lvl>
    <w:lvl w:ilvl="1" w:tplc="2C4CD9DE">
      <w:numFmt w:val="bullet"/>
      <w:lvlText w:val="•"/>
      <w:lvlJc w:val="left"/>
      <w:pPr>
        <w:ind w:left="1386" w:hanging="360"/>
      </w:pPr>
      <w:rPr>
        <w:rFonts w:hint="default"/>
        <w:lang w:val="en-GB" w:eastAsia="en-GB" w:bidi="en-GB"/>
      </w:rPr>
    </w:lvl>
    <w:lvl w:ilvl="2" w:tplc="9E7C61C0">
      <w:numFmt w:val="bullet"/>
      <w:lvlText w:val="•"/>
      <w:lvlJc w:val="left"/>
      <w:pPr>
        <w:ind w:left="2293" w:hanging="360"/>
      </w:pPr>
      <w:rPr>
        <w:rFonts w:hint="default"/>
        <w:lang w:val="en-GB" w:eastAsia="en-GB" w:bidi="en-GB"/>
      </w:rPr>
    </w:lvl>
    <w:lvl w:ilvl="3" w:tplc="5A886B22">
      <w:numFmt w:val="bullet"/>
      <w:lvlText w:val="•"/>
      <w:lvlJc w:val="left"/>
      <w:pPr>
        <w:ind w:left="3199" w:hanging="360"/>
      </w:pPr>
      <w:rPr>
        <w:rFonts w:hint="default"/>
        <w:lang w:val="en-GB" w:eastAsia="en-GB" w:bidi="en-GB"/>
      </w:rPr>
    </w:lvl>
    <w:lvl w:ilvl="4" w:tplc="645A28DC">
      <w:numFmt w:val="bullet"/>
      <w:lvlText w:val="•"/>
      <w:lvlJc w:val="left"/>
      <w:pPr>
        <w:ind w:left="4106" w:hanging="360"/>
      </w:pPr>
      <w:rPr>
        <w:rFonts w:hint="default"/>
        <w:lang w:val="en-GB" w:eastAsia="en-GB" w:bidi="en-GB"/>
      </w:rPr>
    </w:lvl>
    <w:lvl w:ilvl="5" w:tplc="E812AF04">
      <w:numFmt w:val="bullet"/>
      <w:lvlText w:val="•"/>
      <w:lvlJc w:val="left"/>
      <w:pPr>
        <w:ind w:left="5013" w:hanging="360"/>
      </w:pPr>
      <w:rPr>
        <w:rFonts w:hint="default"/>
        <w:lang w:val="en-GB" w:eastAsia="en-GB" w:bidi="en-GB"/>
      </w:rPr>
    </w:lvl>
    <w:lvl w:ilvl="6" w:tplc="BC3A8B0E">
      <w:numFmt w:val="bullet"/>
      <w:lvlText w:val="•"/>
      <w:lvlJc w:val="left"/>
      <w:pPr>
        <w:ind w:left="5919" w:hanging="360"/>
      </w:pPr>
      <w:rPr>
        <w:rFonts w:hint="default"/>
        <w:lang w:val="en-GB" w:eastAsia="en-GB" w:bidi="en-GB"/>
      </w:rPr>
    </w:lvl>
    <w:lvl w:ilvl="7" w:tplc="3A7AD020">
      <w:numFmt w:val="bullet"/>
      <w:lvlText w:val="•"/>
      <w:lvlJc w:val="left"/>
      <w:pPr>
        <w:ind w:left="6826" w:hanging="360"/>
      </w:pPr>
      <w:rPr>
        <w:rFonts w:hint="default"/>
        <w:lang w:val="en-GB" w:eastAsia="en-GB" w:bidi="en-GB"/>
      </w:rPr>
    </w:lvl>
    <w:lvl w:ilvl="8" w:tplc="10FA8552">
      <w:numFmt w:val="bullet"/>
      <w:lvlText w:val="•"/>
      <w:lvlJc w:val="left"/>
      <w:pPr>
        <w:ind w:left="773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5"/>
    <w:rsid w:val="002077C2"/>
    <w:rsid w:val="00402914"/>
    <w:rsid w:val="00696F38"/>
    <w:rsid w:val="008A63F2"/>
    <w:rsid w:val="008B2013"/>
    <w:rsid w:val="00AD6EBB"/>
    <w:rsid w:val="00C5743C"/>
    <w:rsid w:val="00C87A6F"/>
    <w:rsid w:val="00D312F5"/>
    <w:rsid w:val="00D62B28"/>
    <w:rsid w:val="00D67B0E"/>
    <w:rsid w:val="00FD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12F5"/>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D312F5"/>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12F5"/>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D312F5"/>
    <w:rPr>
      <w:sz w:val="24"/>
      <w:szCs w:val="24"/>
    </w:rPr>
  </w:style>
  <w:style w:type="character" w:customStyle="1" w:styleId="BodyTextChar">
    <w:name w:val="Body Text Char"/>
    <w:basedOn w:val="DefaultParagraphFont"/>
    <w:link w:val="BodyText"/>
    <w:uiPriority w:val="1"/>
    <w:rsid w:val="00D312F5"/>
    <w:rPr>
      <w:rFonts w:ascii="Calibri" w:eastAsia="Calibri" w:hAnsi="Calibri" w:cs="Calibri"/>
      <w:sz w:val="24"/>
      <w:szCs w:val="24"/>
      <w:lang w:eastAsia="en-GB" w:bidi="en-GB"/>
    </w:rPr>
  </w:style>
  <w:style w:type="paragraph" w:styleId="ListParagraph">
    <w:name w:val="List Paragraph"/>
    <w:basedOn w:val="Normal"/>
    <w:uiPriority w:val="1"/>
    <w:qFormat/>
    <w:rsid w:val="00D312F5"/>
    <w:pPr>
      <w:ind w:left="477" w:hanging="360"/>
    </w:pPr>
  </w:style>
  <w:style w:type="paragraph" w:styleId="Header">
    <w:name w:val="header"/>
    <w:basedOn w:val="Normal"/>
    <w:link w:val="HeaderChar"/>
    <w:uiPriority w:val="99"/>
    <w:unhideWhenUsed/>
    <w:rsid w:val="00D312F5"/>
    <w:pPr>
      <w:tabs>
        <w:tab w:val="center" w:pos="4513"/>
        <w:tab w:val="right" w:pos="9026"/>
      </w:tabs>
    </w:pPr>
  </w:style>
  <w:style w:type="character" w:customStyle="1" w:styleId="HeaderChar">
    <w:name w:val="Header Char"/>
    <w:basedOn w:val="DefaultParagraphFont"/>
    <w:link w:val="Header"/>
    <w:uiPriority w:val="99"/>
    <w:rsid w:val="00D312F5"/>
    <w:rPr>
      <w:rFonts w:ascii="Calibri" w:eastAsia="Calibri" w:hAnsi="Calibri" w:cs="Calibri"/>
      <w:lang w:eastAsia="en-GB" w:bidi="en-GB"/>
    </w:rPr>
  </w:style>
  <w:style w:type="paragraph" w:styleId="Footer">
    <w:name w:val="footer"/>
    <w:basedOn w:val="Normal"/>
    <w:link w:val="FooterChar"/>
    <w:uiPriority w:val="99"/>
    <w:unhideWhenUsed/>
    <w:rsid w:val="00D312F5"/>
    <w:pPr>
      <w:tabs>
        <w:tab w:val="center" w:pos="4513"/>
        <w:tab w:val="right" w:pos="9026"/>
      </w:tabs>
    </w:pPr>
  </w:style>
  <w:style w:type="character" w:customStyle="1" w:styleId="FooterChar">
    <w:name w:val="Footer Char"/>
    <w:basedOn w:val="DefaultParagraphFont"/>
    <w:link w:val="Footer"/>
    <w:uiPriority w:val="99"/>
    <w:rsid w:val="00D312F5"/>
    <w:rPr>
      <w:rFonts w:ascii="Calibri" w:eastAsia="Calibri" w:hAnsi="Calibri" w:cs="Calibri"/>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12F5"/>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D312F5"/>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12F5"/>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D312F5"/>
    <w:rPr>
      <w:sz w:val="24"/>
      <w:szCs w:val="24"/>
    </w:rPr>
  </w:style>
  <w:style w:type="character" w:customStyle="1" w:styleId="BodyTextChar">
    <w:name w:val="Body Text Char"/>
    <w:basedOn w:val="DefaultParagraphFont"/>
    <w:link w:val="BodyText"/>
    <w:uiPriority w:val="1"/>
    <w:rsid w:val="00D312F5"/>
    <w:rPr>
      <w:rFonts w:ascii="Calibri" w:eastAsia="Calibri" w:hAnsi="Calibri" w:cs="Calibri"/>
      <w:sz w:val="24"/>
      <w:szCs w:val="24"/>
      <w:lang w:eastAsia="en-GB" w:bidi="en-GB"/>
    </w:rPr>
  </w:style>
  <w:style w:type="paragraph" w:styleId="ListParagraph">
    <w:name w:val="List Paragraph"/>
    <w:basedOn w:val="Normal"/>
    <w:uiPriority w:val="1"/>
    <w:qFormat/>
    <w:rsid w:val="00D312F5"/>
    <w:pPr>
      <w:ind w:left="477" w:hanging="360"/>
    </w:pPr>
  </w:style>
  <w:style w:type="paragraph" w:styleId="Header">
    <w:name w:val="header"/>
    <w:basedOn w:val="Normal"/>
    <w:link w:val="HeaderChar"/>
    <w:uiPriority w:val="99"/>
    <w:unhideWhenUsed/>
    <w:rsid w:val="00D312F5"/>
    <w:pPr>
      <w:tabs>
        <w:tab w:val="center" w:pos="4513"/>
        <w:tab w:val="right" w:pos="9026"/>
      </w:tabs>
    </w:pPr>
  </w:style>
  <w:style w:type="character" w:customStyle="1" w:styleId="HeaderChar">
    <w:name w:val="Header Char"/>
    <w:basedOn w:val="DefaultParagraphFont"/>
    <w:link w:val="Header"/>
    <w:uiPriority w:val="99"/>
    <w:rsid w:val="00D312F5"/>
    <w:rPr>
      <w:rFonts w:ascii="Calibri" w:eastAsia="Calibri" w:hAnsi="Calibri" w:cs="Calibri"/>
      <w:lang w:eastAsia="en-GB" w:bidi="en-GB"/>
    </w:rPr>
  </w:style>
  <w:style w:type="paragraph" w:styleId="Footer">
    <w:name w:val="footer"/>
    <w:basedOn w:val="Normal"/>
    <w:link w:val="FooterChar"/>
    <w:uiPriority w:val="99"/>
    <w:unhideWhenUsed/>
    <w:rsid w:val="00D312F5"/>
    <w:pPr>
      <w:tabs>
        <w:tab w:val="center" w:pos="4513"/>
        <w:tab w:val="right" w:pos="9026"/>
      </w:tabs>
    </w:pPr>
  </w:style>
  <w:style w:type="character" w:customStyle="1" w:styleId="FooterChar">
    <w:name w:val="Footer Char"/>
    <w:basedOn w:val="DefaultParagraphFont"/>
    <w:link w:val="Footer"/>
    <w:uiPriority w:val="99"/>
    <w:rsid w:val="00D312F5"/>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data-protection-principles/" TargetMode="External"/><Relationship Id="rId13" Type="http://schemas.openxmlformats.org/officeDocument/2006/relationships/hyperlink" Target="https://ico.org.uk/for-organisations/guide-to-data-protection/privacy-notices-transparency-and-control/privacy-notices-under-the-eu-general-data-protection-regul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for-organisations/guide-to-data-protection/privacy-notices-transparency-and-contr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ig/ig-fair-process/fair-process-g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data-protection/privacy-notices-transparency-and-control/"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privacy-notices-transparency-and-control/privacy-notices-under-the-eu-general-data-protection-regul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for-organisations/guide-to-data-protection/privacy-notices-transparency-and-control/privacy-notices-under-the-eu-general-data-protection-regu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Maung Maung</cp:lastModifiedBy>
  <cp:revision>2</cp:revision>
  <dcterms:created xsi:type="dcterms:W3CDTF">2018-07-23T15:40:00Z</dcterms:created>
  <dcterms:modified xsi:type="dcterms:W3CDTF">2018-07-23T15:40:00Z</dcterms:modified>
</cp:coreProperties>
</file>